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rFonts w:ascii="Arial" w:hAnsi="Arial"/>
          <w:sz w:val="32"/>
          <w:szCs w:val="32"/>
        </w:rPr>
      </w:pPr>
      <w:r>
        <w:rPr>
          <w:rFonts w:cs="Arial" w:ascii="Arial" w:hAnsi="Arial"/>
          <w:b/>
          <w:bCs/>
          <w:sz w:val="32"/>
          <w:szCs w:val="32"/>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left"/>
        <w:rPr>
          <w:rFonts w:ascii="Arial" w:hAnsi="Arial" w:cs="Arial"/>
          <w:b/>
          <w:b/>
          <w:bCs/>
          <w:sz w:val="32"/>
          <w:szCs w:val="32"/>
          <w:lang w:eastAsia="en-US"/>
        </w:rPr>
      </w:pPr>
      <w:r>
        <w:rPr>
          <w:rFonts w:cs="Arial" w:ascii="Arial" w:hAnsi="Arial"/>
          <w:b/>
          <w:bCs/>
          <w:sz w:val="32"/>
          <w:szCs w:val="32"/>
          <w:lang w:eastAsia="en-US"/>
        </w:rPr>
      </w:r>
    </w:p>
    <w:p>
      <w:pPr>
        <w:pStyle w:val="Normal"/>
        <w:tabs>
          <w:tab w:val="left" w:pos="2730" w:leader="none"/>
        </w:tabs>
        <w:bidi w:val="0"/>
        <w:spacing w:lineRule="auto" w:line="276" w:before="113" w:after="113"/>
        <w:ind w:left="0" w:right="0" w:firstLine="567"/>
        <w:jc w:val="left"/>
        <w:rPr>
          <w:rFonts w:ascii="Arial" w:hAnsi="Arial"/>
          <w:sz w:val="32"/>
          <w:szCs w:val="32"/>
        </w:rPr>
      </w:pPr>
      <w:r>
        <w:rPr>
          <w:rFonts w:cs="Arial" w:ascii="Arial" w:hAnsi="Arial"/>
          <w:b/>
          <w:bCs/>
          <w:sz w:val="32"/>
          <w:szCs w:val="32"/>
          <w:lang w:eastAsia="en-US"/>
        </w:rPr>
        <w:tab/>
      </w:r>
    </w:p>
    <w:p>
      <w:pPr>
        <w:pStyle w:val="Normal"/>
        <w:bidi w:val="0"/>
        <w:spacing w:lineRule="auto" w:line="276" w:before="113" w:after="113"/>
        <w:ind w:left="0" w:right="0" w:firstLine="567"/>
        <w:jc w:val="center"/>
        <w:rPr>
          <w:rFonts w:ascii="Arial" w:hAnsi="Arial"/>
          <w:sz w:val="32"/>
          <w:szCs w:val="32"/>
        </w:rPr>
      </w:pPr>
      <w:r>
        <w:rPr>
          <w:rFonts w:cs="Arial" w:ascii="Arial" w:hAnsi="Arial"/>
          <w:b/>
          <w:bCs/>
          <w:sz w:val="32"/>
          <w:szCs w:val="32"/>
          <w:lang w:eastAsia="en-US"/>
        </w:rPr>
        <w:t>MEMORIAL DESCRITIVO</w:t>
      </w:r>
    </w:p>
    <w:p>
      <w:pPr>
        <w:pStyle w:val="Normal"/>
        <w:bidi w:val="0"/>
        <w:spacing w:lineRule="auto" w:line="276" w:before="113" w:after="113"/>
        <w:ind w:left="0" w:right="0" w:firstLine="567"/>
        <w:jc w:val="center"/>
        <w:rPr>
          <w:rFonts w:ascii="Arial" w:hAnsi="Arial"/>
          <w:sz w:val="32"/>
          <w:szCs w:val="32"/>
        </w:rPr>
      </w:pPr>
      <w:r>
        <w:rPr>
          <w:rFonts w:cs="Arial" w:ascii="Arial" w:hAnsi="Arial"/>
          <w:b/>
          <w:bCs/>
          <w:sz w:val="32"/>
          <w:szCs w:val="32"/>
          <w:lang w:eastAsia="en-US"/>
        </w:rPr>
        <w:t xml:space="preserve"> </w:t>
      </w:r>
    </w:p>
    <w:p>
      <w:pPr>
        <w:pStyle w:val="Normal"/>
        <w:bidi w:val="0"/>
        <w:spacing w:lineRule="auto" w:line="276" w:before="113" w:after="113"/>
        <w:ind w:left="0" w:right="0" w:firstLine="567"/>
        <w:jc w:val="center"/>
        <w:rPr>
          <w:rFonts w:ascii="Arial" w:hAnsi="Arial" w:eastAsia="Calibri" w:cs="Arial"/>
          <w:sz w:val="32"/>
          <w:szCs w:val="32"/>
          <w:lang w:eastAsia="en-US"/>
        </w:rPr>
      </w:pPr>
      <w:r>
        <w:rPr>
          <w:rFonts w:eastAsia="Calibri" w:cs="Arial" w:ascii="Arial" w:hAnsi="Arial"/>
          <w:sz w:val="32"/>
          <w:szCs w:val="32"/>
          <w:lang w:eastAsia="en-US"/>
        </w:rPr>
      </w:r>
    </w:p>
    <w:p>
      <w:pPr>
        <w:pStyle w:val="Normal"/>
        <w:bidi w:val="0"/>
        <w:spacing w:lineRule="auto" w:line="276" w:before="113" w:after="113"/>
        <w:ind w:left="0" w:right="0" w:hanging="0"/>
        <w:jc w:val="center"/>
        <w:rPr/>
      </w:pPr>
      <w:r>
        <w:rPr>
          <w:rFonts w:eastAsia="Calibri" w:cs="Arial" w:ascii="Arial" w:hAnsi="Arial"/>
          <w:b/>
          <w:sz w:val="36"/>
          <w:szCs w:val="36"/>
          <w:lang w:eastAsia="en-US"/>
        </w:rPr>
        <w:t xml:space="preserve">ADEQUAÇÕES </w:t>
      </w:r>
      <w:r>
        <w:rPr>
          <w:rFonts w:eastAsia="Calibri" w:cs="Arial" w:ascii="Arial" w:hAnsi="Arial"/>
          <w:b/>
          <w:sz w:val="36"/>
          <w:szCs w:val="36"/>
          <w:lang w:eastAsia="en-US"/>
        </w:rPr>
        <w:t>DAS INSTALAÇÕES INTERNAS DA EB PROF.ª MARIA ROSA HELENO SCHULTE</w:t>
      </w:r>
    </w:p>
    <w:p>
      <w:pPr>
        <w:pStyle w:val="Normal"/>
        <w:bidi w:val="0"/>
        <w:spacing w:lineRule="auto" w:line="276" w:before="113" w:after="113"/>
        <w:ind w:left="0" w:right="0" w:firstLine="567"/>
        <w:jc w:val="center"/>
        <w:rPr>
          <w:rFonts w:ascii="Arial" w:hAnsi="Arial" w:eastAsia="Calibri" w:cs="Arial"/>
          <w:b/>
          <w:b/>
          <w:sz w:val="32"/>
          <w:szCs w:val="32"/>
          <w:lang w:eastAsia="en-US"/>
        </w:rPr>
      </w:pPr>
      <w:r>
        <w:rPr>
          <w:rFonts w:eastAsia="Calibri" w:cs="Arial" w:ascii="Arial" w:hAnsi="Arial"/>
          <w:b/>
          <w:sz w:val="32"/>
          <w:szCs w:val="32"/>
          <w:lang w:eastAsia="en-US"/>
        </w:rPr>
      </w:r>
    </w:p>
    <w:p>
      <w:pPr>
        <w:pStyle w:val="Normal"/>
        <w:bidi w:val="0"/>
        <w:spacing w:lineRule="auto" w:line="276" w:before="113" w:after="113"/>
        <w:ind w:left="0" w:right="0" w:firstLine="567"/>
        <w:jc w:val="center"/>
        <w:rPr>
          <w:rFonts w:ascii="Arial" w:hAnsi="Arial" w:eastAsia="Calibri" w:cs="Arial"/>
          <w:b/>
          <w:b/>
          <w:sz w:val="32"/>
          <w:szCs w:val="32"/>
          <w:lang w:eastAsia="en-US"/>
        </w:rPr>
      </w:pPr>
      <w:r>
        <w:rPr>
          <w:rFonts w:eastAsia="Calibri" w:cs="Arial" w:ascii="Arial" w:hAnsi="Arial"/>
          <w:b/>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rFonts w:ascii="Arial" w:hAnsi="Arial" w:cs="Arial"/>
          <w:b/>
          <w:b/>
          <w:bCs/>
          <w:sz w:val="32"/>
          <w:szCs w:val="32"/>
          <w:lang w:eastAsia="en-US"/>
        </w:rPr>
      </w:pPr>
      <w:r>
        <w:rPr>
          <w:rFonts w:cs="Arial" w:ascii="Arial" w:hAnsi="Arial"/>
          <w:b/>
          <w:bCs/>
          <w:sz w:val="32"/>
          <w:szCs w:val="32"/>
          <w:lang w:eastAsia="en-US"/>
        </w:rPr>
      </w:r>
    </w:p>
    <w:p>
      <w:pPr>
        <w:pStyle w:val="Normal"/>
        <w:bidi w:val="0"/>
        <w:spacing w:lineRule="auto" w:line="276" w:before="113" w:after="113"/>
        <w:ind w:left="0" w:right="0" w:firstLine="567"/>
        <w:jc w:val="center"/>
        <w:rPr/>
      </w:pPr>
      <w:r>
        <w:rPr>
          <w:rFonts w:cs="Arial" w:ascii="Arial" w:hAnsi="Arial"/>
          <w:b/>
          <w:bCs/>
          <w:sz w:val="32"/>
          <w:szCs w:val="32"/>
          <w:lang w:eastAsia="en-US"/>
        </w:rPr>
        <w:t>FEVEREIRO/2018</w:t>
      </w:r>
      <w:r>
        <w:br w:type="page"/>
      </w:r>
    </w:p>
    <w:p>
      <w:pPr>
        <w:pStyle w:val="Ttulo1"/>
        <w:bidi w:val="0"/>
        <w:spacing w:lineRule="auto" w:line="276" w:before="113" w:after="113"/>
        <w:ind w:left="0" w:right="0" w:firstLine="567"/>
        <w:jc w:val="center"/>
        <w:rPr>
          <w:rFonts w:ascii="Arial" w:hAnsi="Arial"/>
          <w:sz w:val="22"/>
          <w:szCs w:val="22"/>
        </w:rPr>
      </w:pPr>
      <w:bookmarkStart w:id="0" w:name="_Toc176231960"/>
      <w:bookmarkEnd w:id="0"/>
      <w:r>
        <w:rPr>
          <w:rFonts w:cs="Arial"/>
          <w:b w:val="false"/>
          <w:color w:val="00000A"/>
          <w:sz w:val="28"/>
          <w:szCs w:val="28"/>
        </w:rPr>
        <w:t>A - INTRODUÇÃO</w:t>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OBJETO</w:t>
      </w:r>
    </w:p>
    <w:p>
      <w:pPr>
        <w:pStyle w:val="Normal"/>
        <w:bidi w:val="0"/>
        <w:spacing w:lineRule="auto" w:line="276" w:before="113" w:after="113"/>
        <w:ind w:left="0" w:right="0" w:firstLine="567"/>
        <w:jc w:val="both"/>
        <w:rPr>
          <w:sz w:val="22"/>
          <w:szCs w:val="22"/>
        </w:rPr>
      </w:pPr>
      <w:r>
        <w:rPr>
          <w:rFonts w:cs="Arial" w:ascii="Arial" w:hAnsi="Arial"/>
          <w:sz w:val="22"/>
          <w:szCs w:val="22"/>
        </w:rPr>
        <w:t xml:space="preserve">O presente Memorial Descritivo é parte integrante do projeto básico referente ao objeto: </w:t>
      </w:r>
      <w:r>
        <w:rPr>
          <w:rFonts w:cs="Arial" w:ascii="Arial" w:hAnsi="Arial"/>
          <w:b w:val="false"/>
          <w:bCs w:val="false"/>
          <w:sz w:val="22"/>
          <w:szCs w:val="22"/>
        </w:rPr>
        <w:t>E</w:t>
      </w:r>
      <w:r>
        <w:rPr>
          <w:rFonts w:cs="Arial" w:ascii="Arial" w:hAnsi="Arial"/>
          <w:sz w:val="22"/>
          <w:szCs w:val="22"/>
        </w:rPr>
        <w:t xml:space="preserve">xecução de obras de </w:t>
      </w:r>
      <w:r>
        <w:rPr>
          <w:rFonts w:cs="Arial" w:ascii="Arial" w:hAnsi="Arial"/>
          <w:b/>
          <w:i w:val="false"/>
          <w:caps w:val="false"/>
          <w:smallCaps w:val="false"/>
          <w:strike w:val="false"/>
          <w:dstrike w:val="false"/>
          <w:color w:val="000000"/>
          <w:sz w:val="22"/>
          <w:szCs w:val="22"/>
          <w:u w:val="none"/>
          <w:effect w:val="none"/>
        </w:rPr>
        <w:t>ADEQUAÇÕES DAS INSTALAÇÕES INTERNAS DA EB PROFº MARIA ROSA HELENO SCHULTE</w:t>
      </w:r>
      <w:r>
        <w:rPr>
          <w:rFonts w:cs="Arial" w:ascii="Arial" w:hAnsi="Arial"/>
          <w:b/>
          <w:sz w:val="22"/>
          <w:szCs w:val="22"/>
        </w:rPr>
        <w:t xml:space="preserve">  l</w:t>
      </w:r>
      <w:r>
        <w:rPr>
          <w:rFonts w:cs="Arial" w:ascii="Arial" w:hAnsi="Arial"/>
          <w:sz w:val="22"/>
          <w:szCs w:val="22"/>
        </w:rPr>
        <w:t>ocalizado na Rua Fermino Vieira Cordeiros , s/n°, Espinheiros, Itajaí/SC, CEP 88317-200.</w:t>
      </w:r>
    </w:p>
    <w:p>
      <w:pPr>
        <w:pStyle w:val="Normal"/>
        <w:bidi w:val="0"/>
        <w:spacing w:lineRule="auto" w:line="276" w:before="113" w:after="113"/>
        <w:ind w:left="0" w:right="0" w:firstLine="567"/>
        <w:jc w:val="both"/>
        <w:rPr>
          <w:rFonts w:ascii="Arial" w:hAnsi="Arial" w:cs="Arial"/>
          <w:sz w:val="22"/>
          <w:szCs w:val="22"/>
        </w:rPr>
      </w:pPr>
      <w:r>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0" w:after="120"/>
              <w:ind w:left="0" w:right="0" w:firstLine="567"/>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0" w:after="120"/>
              <w:ind w:left="0" w:right="0" w:firstLine="567"/>
              <w:jc w:val="both"/>
              <w:rPr/>
            </w:pPr>
            <w:r>
              <w:rPr>
                <w:rFonts w:cs="Arial" w:ascii="Arial" w:hAnsi="Arial"/>
                <w:sz w:val="22"/>
                <w:szCs w:val="22"/>
              </w:rPr>
              <w:t>Área construída – aproximadamente</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0" w:after="120"/>
              <w:ind w:left="0" w:right="0" w:firstLine="567"/>
              <w:jc w:val="both"/>
              <w:rPr/>
            </w:pPr>
            <w:r>
              <w:rPr>
                <w:rFonts w:cs="Arial" w:ascii="Arial" w:hAnsi="Arial"/>
                <w:sz w:val="22"/>
                <w:szCs w:val="22"/>
              </w:rPr>
              <w:t>1.250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bidi w:val="0"/>
              <w:spacing w:lineRule="auto" w:line="276" w:before="0" w:after="120"/>
              <w:ind w:left="0" w:right="0" w:firstLine="567"/>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bidi w:val="0"/>
              <w:spacing w:lineRule="auto" w:line="276" w:before="0" w:after="120"/>
              <w:ind w:left="0" w:right="0" w:firstLine="567"/>
              <w:jc w:val="both"/>
              <w:rPr/>
            </w:pPr>
            <w:r>
              <w:rPr>
                <w:rFonts w:cs="Arial" w:ascii="Arial" w:hAnsi="Arial"/>
                <w:sz w:val="22"/>
                <w:szCs w:val="22"/>
              </w:rPr>
              <w:t>3 pavimentos</w:t>
            </w:r>
          </w:p>
        </w:tc>
      </w:tr>
    </w:tbl>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tabs>
          <w:tab w:val="left" w:pos="851" w:leader="none"/>
        </w:tabs>
        <w:bidi w:val="0"/>
        <w:spacing w:lineRule="auto" w:line="276" w:before="0" w:after="120"/>
        <w:ind w:left="0" w:right="0" w:firstLine="567"/>
        <w:jc w:val="both"/>
        <w:rPr/>
      </w:pPr>
      <w:r>
        <w:rPr>
          <w:rFonts w:cs="Arial" w:ascii="Arial" w:hAnsi="Arial"/>
          <w:color w:val="00000A"/>
          <w:sz w:val="22"/>
          <w:szCs w:val="22"/>
        </w:rPr>
        <w:t>O edifício onde está instalado a EB Prof.ª Maria Rosa Heleno Schulte necessita de manutenção preventiva das instalações internas para o bem-estar dos usuários do local. Por se tratar de uma edificação não pertencente ao município, todas as intervenções são de forma a serem retiradas com facilidade em caso de necessidade futura.</w:t>
      </w:r>
    </w:p>
    <w:p>
      <w:pPr>
        <w:pStyle w:val="Normal"/>
        <w:tabs>
          <w:tab w:val="left" w:pos="851" w:leader="none"/>
        </w:tabs>
        <w:bidi w:val="0"/>
        <w:spacing w:lineRule="auto" w:line="276" w:before="0" w:after="120"/>
        <w:ind w:left="0" w:right="0" w:firstLine="567"/>
        <w:jc w:val="both"/>
        <w:rPr/>
      </w:pPr>
      <w:r>
        <w:rPr>
          <w:rFonts w:cs="Arial" w:ascii="Arial" w:hAnsi="Arial"/>
          <w:color w:val="00000A"/>
          <w:sz w:val="22"/>
          <w:szCs w:val="22"/>
        </w:rPr>
        <w:t>As divisórias tipo Divilux que fazem a separação das salas de aula estão comprometidas na parte inferior por problemas de umidade decorrente de limpeza do piso. A mesma por não ter tratamento acústico traz dificuldades ao aprendizado dos alunos e ao trabalho dos professores. A solução para esta questão será a execução de novo painel divisório, porém sendo dupla e com isolamento em fibra de vidro, formando um sistema tipo sanduíche.</w:t>
      </w:r>
    </w:p>
    <w:p>
      <w:pPr>
        <w:pStyle w:val="Normal"/>
        <w:tabs>
          <w:tab w:val="left" w:pos="851" w:leader="none"/>
        </w:tabs>
        <w:bidi w:val="0"/>
        <w:spacing w:lineRule="auto" w:line="276" w:before="0" w:after="120"/>
        <w:ind w:left="0" w:right="0" w:firstLine="567"/>
        <w:jc w:val="both"/>
        <w:rPr/>
      </w:pPr>
      <w:r>
        <w:rPr>
          <w:rFonts w:cs="Arial" w:ascii="Arial" w:hAnsi="Arial"/>
          <w:color w:val="00000A"/>
          <w:sz w:val="22"/>
          <w:szCs w:val="22"/>
        </w:rPr>
        <w:t xml:space="preserve">Também será necessário a execução de painel divisória na cozinha, pois a mesma é aberta para o refeitório, separada apenas com um balcão. Esta ação vem a atender os parâmetros da vigilância sanitária. Nesta mesma área de cozinha e refeitório, juntamente as salas de educação física será trocado o forro de madeira por de PVC pois o atual está todo comprometido por ação de cupins esfarelando-se e caindo sobre alimentos servidos e em preparação. </w:t>
      </w:r>
    </w:p>
    <w:p>
      <w:pPr>
        <w:pStyle w:val="Normal"/>
        <w:widowControl/>
        <w:tabs>
          <w:tab w:val="left" w:pos="851" w:leader="none"/>
        </w:tabs>
        <w:bidi w:val="0"/>
        <w:spacing w:lineRule="auto" w:line="276" w:before="0" w:after="120"/>
        <w:ind w:left="0" w:right="0" w:firstLine="567"/>
        <w:jc w:val="both"/>
        <w:rPr/>
      </w:pPr>
      <w:r>
        <w:rPr>
          <w:rFonts w:cs="Arial" w:ascii="Arial" w:hAnsi="Arial"/>
          <w:b w:val="false"/>
          <w:i w:val="false"/>
          <w:caps w:val="false"/>
          <w:smallCaps w:val="false"/>
          <w:color w:val="00000A"/>
          <w:spacing w:val="0"/>
          <w:sz w:val="22"/>
          <w:szCs w:val="22"/>
        </w:rPr>
        <w:t>Na área aos fundos do bloco do refeitório será construído uma cerca pois esta área é próxima a vegetação e vulnerável para a segurança dos alunos, também será construído um muro de 11 metros no pátio para isolamento com a área vizinha.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RESPONSABILIDADE, GARANTIA E RESPEITO AO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presente memorial tem por objetivo estabelecer os requisitos, condições técnicas e administrativas que regerão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FISCALIZAÇÃO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left"/>
        <w:rPr>
          <w:rFonts w:ascii="Arial" w:hAnsi="Arial"/>
          <w:sz w:val="22"/>
          <w:szCs w:val="22"/>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left"/>
        <w:rPr>
          <w:rFonts w:ascii="Arial" w:hAnsi="Arial"/>
          <w:sz w:val="22"/>
          <w:szCs w:val="22"/>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left"/>
        <w:rPr>
          <w:rFonts w:ascii="Arial" w:hAnsi="Arial"/>
          <w:sz w:val="22"/>
          <w:szCs w:val="22"/>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center"/>
        <w:rPr>
          <w:sz w:val="28"/>
          <w:szCs w:val="28"/>
        </w:rPr>
      </w:pPr>
      <w:bookmarkStart w:id="1" w:name="_Toc176231961"/>
      <w:bookmarkEnd w:id="1"/>
      <w:r>
        <w:rPr>
          <w:rFonts w:cs="Arial"/>
          <w:b w:val="false"/>
          <w:bCs/>
          <w:color w:val="00000A"/>
          <w:sz w:val="28"/>
          <w:szCs w:val="28"/>
        </w:rPr>
        <w:t>B - DISPOSIÇÕES GERAIS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rFonts w:ascii="Arial" w:hAnsi="Arial"/>
          <w:sz w:val="22"/>
          <w:szCs w:val="22"/>
        </w:rPr>
      </w:pPr>
      <w:r>
        <w:rPr>
          <w:rFonts w:cs="Arial" w:ascii="Arial" w:hAnsi="Arial"/>
          <w:sz w:val="22"/>
          <w:szCs w:val="22"/>
        </w:rPr>
        <w:t>INSTALAÇÃO E ADMINISTRAÇÃO DA OBRA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ADMINISTRAÇÃO DE OBRA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 xml:space="preserve">A CONTRATADA deverá providenciar, as suas expensas os seguros listados a seguir: </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Seguro de Risco de Engenharia;</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Importância segurada, igual ao valor do Contrato a ser assinado.</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Em todos os itens da obra,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Ttulo1"/>
        <w:bidi w:val="0"/>
        <w:spacing w:lineRule="auto" w:line="276" w:before="113" w:after="113"/>
        <w:ind w:left="0" w:right="0" w:firstLine="567"/>
        <w:jc w:val="center"/>
        <w:rPr>
          <w:rFonts w:ascii="Arial" w:hAnsi="Arial"/>
          <w:sz w:val="22"/>
          <w:szCs w:val="22"/>
        </w:rPr>
      </w:pPr>
      <w:bookmarkStart w:id="2" w:name="_Toc176231962"/>
      <w:bookmarkEnd w:id="2"/>
      <w:r>
        <w:rPr>
          <w:rFonts w:cs="Arial"/>
          <w:b w:val="false"/>
          <w:bCs/>
          <w:color w:val="00000A"/>
          <w:sz w:val="28"/>
          <w:szCs w:val="28"/>
        </w:rPr>
        <w:t>C - MEMORIAL DESCRITIVO</w:t>
      </w:r>
    </w:p>
    <w:p>
      <w:pPr>
        <w:pStyle w:val="Style11"/>
        <w:bidi w:val="0"/>
        <w:spacing w:lineRule="auto" w:line="276" w:before="113" w:after="113"/>
        <w:ind w:left="0" w:right="0" w:firstLine="567"/>
        <w:jc w:val="left"/>
        <w:rPr>
          <w:rFonts w:ascii="Arial" w:hAnsi="Arial"/>
          <w:sz w:val="22"/>
          <w:szCs w:val="22"/>
        </w:rPr>
      </w:pPr>
      <w:r>
        <w:rPr>
          <w:rFonts w:cs="Arial" w:ascii="Arial" w:hAnsi="Arial"/>
          <w:sz w:val="22"/>
          <w:szCs w:val="22"/>
        </w:rPr>
        <w:t xml:space="preserve"> </w:t>
      </w:r>
    </w:p>
    <w:p>
      <w:pPr>
        <w:pStyle w:val="Style11"/>
        <w:bidi w:val="0"/>
        <w:spacing w:lineRule="auto" w:line="276" w:before="113" w:after="113"/>
        <w:ind w:left="0" w:right="0" w:firstLine="567"/>
        <w:jc w:val="left"/>
        <w:rPr>
          <w:rFonts w:ascii="Arial" w:hAnsi="Arial"/>
          <w:sz w:val="22"/>
          <w:szCs w:val="22"/>
        </w:rPr>
      </w:pPr>
      <w:r>
        <w:rPr>
          <w:rFonts w:cs="Arial" w:ascii="Arial" w:hAnsi="Arial"/>
          <w:b/>
          <w:sz w:val="22"/>
          <w:szCs w:val="22"/>
        </w:rPr>
        <w:t>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rFonts w:ascii="Arial" w:hAnsi="Arial"/>
          <w:sz w:val="22"/>
          <w:szCs w:val="22"/>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sz w:val="22"/>
          <w:szCs w:val="22"/>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rFonts w:ascii="Arial" w:hAnsi="Arial"/>
          <w:sz w:val="22"/>
          <w:szCs w:val="22"/>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rFonts w:ascii="Arial" w:hAnsi="Arial" w:cs="Arial"/>
          <w:b/>
          <w:b/>
          <w:sz w:val="22"/>
          <w:szCs w:val="22"/>
        </w:rPr>
      </w:pPr>
      <w:r>
        <w:rPr/>
      </w:r>
    </w:p>
    <w:p>
      <w:pPr>
        <w:pStyle w:val="Style11"/>
        <w:bidi w:val="0"/>
        <w:spacing w:lineRule="auto" w:line="276" w:before="113" w:after="113"/>
        <w:ind w:left="0" w:right="0" w:firstLine="567"/>
        <w:jc w:val="left"/>
        <w:rPr>
          <w:rFonts w:ascii="Arial" w:hAnsi="Arial"/>
          <w:sz w:val="22"/>
          <w:szCs w:val="22"/>
        </w:rPr>
      </w:pPr>
      <w:r>
        <w:rPr>
          <w:rFonts w:cs="Arial" w:ascii="Arial" w:hAnsi="Arial"/>
          <w:b/>
          <w:sz w:val="22"/>
          <w:szCs w:val="22"/>
        </w:rPr>
        <w:t>1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rFonts w:ascii="Arial" w:hAnsi="Arial"/>
          <w:sz w:val="22"/>
          <w:szCs w:val="22"/>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rFonts w:ascii="Arial" w:hAnsi="Arial"/>
          <w:sz w:val="22"/>
          <w:szCs w:val="22"/>
        </w:rPr>
      </w:pPr>
      <w:r>
        <w:rPr>
          <w:rFonts w:cs="Arial" w:ascii="Arial" w:hAnsi="Arial"/>
          <w:b w:val="false"/>
          <w:bCs w:val="false"/>
          <w:sz w:val="22"/>
          <w:szCs w:val="22"/>
        </w:rPr>
        <w:t>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 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Style w:val="CharacterStyle2"/>
          <w:rFonts w:cs="Arial" w:ascii="Arial" w:hAnsi="Arial"/>
          <w:b/>
          <w:i w:val="false"/>
          <w:sz w:val="22"/>
          <w:szCs w:val="22"/>
        </w:rPr>
        <w:t>2  SUPERESTRUTURA</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Normal"/>
        <w:bidi w:val="0"/>
        <w:spacing w:lineRule="auto" w:line="276" w:before="113" w:after="113"/>
        <w:ind w:left="0" w:right="0" w:firstLine="567"/>
        <w:jc w:val="both"/>
        <w:rPr/>
      </w:pPr>
      <w:r>
        <w:rPr>
          <w:rStyle w:val="CharacterStyle2"/>
          <w:rFonts w:cs="Arial" w:ascii="Arial" w:hAnsi="Arial"/>
          <w:b/>
          <w:i w:val="false"/>
          <w:sz w:val="22"/>
          <w:szCs w:val="22"/>
        </w:rPr>
        <w:t>CONCRETO ARMADO EM ESTRUTURA – FCK = 25 MPA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Style8"/>
        <w:bidi w:val="0"/>
        <w:spacing w:lineRule="auto" w:line="276" w:before="113" w:after="113"/>
        <w:ind w:left="0" w:right="0" w:firstLine="567"/>
        <w:jc w:val="left"/>
        <w:rPr/>
      </w:pPr>
      <w:r>
        <w:rPr>
          <w:rStyle w:val="CharacterStyle2"/>
          <w:rFonts w:cs="Arial" w:ascii="Arial" w:hAnsi="Arial"/>
          <w:b w:val="false"/>
          <w:bCs w:val="false"/>
          <w:i w:val="false"/>
          <w:iCs w:val="false"/>
          <w:spacing w:val="2"/>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Style8"/>
        <w:bidi w:val="0"/>
        <w:spacing w:lineRule="auto" w:line="276" w:before="113" w:after="113"/>
        <w:ind w:left="0" w:right="0" w:firstLine="567"/>
        <w:jc w:val="left"/>
        <w:rPr>
          <w:rStyle w:val="CharacterStyle2"/>
          <w:rFonts w:ascii="Arial" w:hAnsi="Arial" w:cs="Arial"/>
          <w:b w:val="false"/>
          <w:b w:val="false"/>
          <w:bCs w:val="false"/>
          <w:i w:val="false"/>
          <w:i w:val="false"/>
          <w:iCs w:val="false"/>
          <w:spacing w:val="2"/>
          <w:sz w:val="22"/>
          <w:szCs w:val="22"/>
        </w:rPr>
      </w:pPr>
      <w:r>
        <w:rPr>
          <w:rFonts w:cs="Arial" w:ascii="Arial" w:hAnsi="Arial"/>
          <w:b w:val="false"/>
          <w:bCs w:val="false"/>
          <w:i w:val="false"/>
          <w:iCs w:val="false"/>
          <w:spacing w:val="2"/>
          <w:sz w:val="22"/>
          <w:szCs w:val="22"/>
        </w:rPr>
      </w:r>
    </w:p>
    <w:p>
      <w:pPr>
        <w:pStyle w:val="Style8"/>
        <w:bidi w:val="0"/>
        <w:spacing w:lineRule="auto" w:line="276" w:before="113" w:after="113"/>
        <w:ind w:left="0" w:right="0" w:firstLine="567"/>
        <w:jc w:val="left"/>
        <w:rPr/>
      </w:pPr>
      <w:r>
        <w:rPr>
          <w:rStyle w:val="CharacterStyle2"/>
          <w:rFonts w:cs="Arial" w:ascii="Arial" w:hAnsi="Arial"/>
          <w:b/>
          <w:spacing w:val="2"/>
          <w:sz w:val="22"/>
          <w:szCs w:val="22"/>
        </w:rPr>
        <w:t>3  PAREDES E PAINÉIS</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 xml:space="preserve">ALVENARIA </w:t>
      </w:r>
      <w:r>
        <w:rPr>
          <w:rFonts w:cs="Arial" w:ascii="Arial" w:hAnsi="Arial"/>
          <w:b/>
          <w:sz w:val="22"/>
          <w:szCs w:val="22"/>
        </w:rPr>
        <w:t>EM TIJOLO CERÂMICO</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0" w:right="0"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tabs>
          <w:tab w:val="left" w:pos="0" w:leader="none"/>
        </w:tabs>
        <w:overflowPunct w:val="false"/>
        <w:bidi w:val="0"/>
        <w:spacing w:lineRule="auto" w:line="276" w:before="113" w:after="113"/>
        <w:ind w:left="0" w:right="0" w:firstLine="567"/>
        <w:jc w:val="both"/>
        <w:textAlignment w:val="baseline"/>
        <w:rPr/>
      </w:pPr>
      <w:r>
        <w:rPr>
          <w:rStyle w:val="CharacterStyle2"/>
          <w:rFonts w:cs="Arial" w:ascii="Arial" w:hAnsi="Arial"/>
          <w:b w:val="false"/>
          <w:bCs w:val="false"/>
          <w:i w:val="false"/>
          <w:iCs w:val="false"/>
          <w:spacing w:val="2"/>
          <w:sz w:val="22"/>
          <w:szCs w:val="22"/>
        </w:rPr>
        <w:t>As alvenarias sobre a laje radier de fundação deverão receber aditivo impermeabilizante na argamassa, nas suas 03 primeiras fiadas.</w:t>
      </w:r>
    </w:p>
    <w:p>
      <w:pPr>
        <w:pStyle w:val="Normal"/>
        <w:bidi w:val="0"/>
        <w:spacing w:lineRule="auto" w:line="276" w:before="113" w:after="113"/>
        <w:ind w:left="0" w:right="0" w:firstLine="567"/>
        <w:jc w:val="left"/>
        <w:rPr>
          <w:rStyle w:val="CharacterStyle2"/>
          <w:rFonts w:ascii="Arial" w:hAnsi="Arial" w:cs="Arial"/>
          <w:b/>
          <w:b/>
          <w:bCs w:val="false"/>
          <w:i w:val="false"/>
          <w:i w:val="false"/>
          <w:iCs w:val="false"/>
          <w:spacing w:val="2"/>
          <w:sz w:val="22"/>
          <w:szCs w:val="22"/>
        </w:rPr>
      </w:pPr>
      <w:r>
        <w:rPr>
          <w:rFonts w:cs="Arial" w:ascii="Arial" w:hAnsi="Arial"/>
          <w:b/>
          <w:bCs w:val="false"/>
          <w:i w:val="false"/>
          <w:iCs w:val="false"/>
          <w:spacing w:val="2"/>
          <w:sz w:val="22"/>
          <w:szCs w:val="22"/>
        </w:rPr>
      </w:r>
    </w:p>
    <w:p>
      <w:pPr>
        <w:pStyle w:val="Normal"/>
        <w:bidi w:val="0"/>
        <w:spacing w:lineRule="auto" w:line="276" w:before="113" w:after="113"/>
        <w:ind w:left="0" w:right="0" w:firstLine="567"/>
        <w:jc w:val="left"/>
        <w:rPr/>
      </w:pPr>
      <w:r>
        <w:rPr>
          <w:rStyle w:val="CharacterStyle2"/>
          <w:rFonts w:cs="Arial" w:ascii="Arial" w:hAnsi="Arial"/>
          <w:b/>
          <w:bCs w:val="false"/>
          <w:i w:val="false"/>
          <w:iCs w:val="false"/>
          <w:spacing w:val="2"/>
          <w:sz w:val="22"/>
          <w:szCs w:val="22"/>
        </w:rPr>
        <w:t>PAINEL DIVISÓRIO TIPO DIVILUX</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fornecidas e montadas divisórias moduladas desmontáveis do tipo Divilux Naval, painéis cegos, espessura 35 mm, perfis em aço galvanizado pintados com pintura epóxi poliéster, modulação de 1204 mm com miolo celular em kraft, revestido com eucaplac, padrão branco, montantes duplos e simples e rodapés simplificados, portas com acabamentos especiais, como requadros em aço fixados com arrebites.</w:t>
      </w:r>
    </w:p>
    <w:p>
      <w:pPr>
        <w:pStyle w:val="TextosemFormatao"/>
        <w:bidi w:val="0"/>
        <w:spacing w:lineRule="auto" w:line="276" w:before="113" w:after="113"/>
        <w:ind w:left="0" w:right="0" w:firstLine="567"/>
        <w:jc w:val="both"/>
        <w:rPr/>
      </w:pPr>
      <w:r>
        <w:rPr>
          <w:rFonts w:cs="Arial" w:ascii="Arial" w:hAnsi="Arial"/>
          <w:b w:val="false"/>
          <w:sz w:val="22"/>
          <w:szCs w:val="22"/>
        </w:rPr>
        <w:t xml:space="preserve">As paredes das salas de aula serão executadas como parede dupla, com isolamento acústico entre os painéis. </w:t>
      </w:r>
      <w:r>
        <w:rPr>
          <w:rFonts w:cs="Arial" w:ascii="Arial" w:hAnsi="Arial"/>
          <w:b w:val="false"/>
          <w:sz w:val="22"/>
          <w:szCs w:val="22"/>
        </w:rPr>
        <w:t>Os montantes duplos serão necessários, a cada módulo, ou a cada módulo intercalado, ou seja, um com e um sem montante devido a altura do pé</w:t>
      </w:r>
      <w:r>
        <w:rPr>
          <w:rFonts w:cs="Arial" w:ascii="Arial" w:hAnsi="Arial"/>
          <w:color w:val="FF0000"/>
          <w:sz w:val="22"/>
          <w:szCs w:val="22"/>
        </w:rPr>
        <w:t xml:space="preserve"> </w:t>
      </w:r>
      <w:r>
        <w:rPr>
          <w:rFonts w:cs="Arial" w:ascii="Arial" w:hAnsi="Arial"/>
          <w:b w:val="false"/>
          <w:sz w:val="22"/>
          <w:szCs w:val="22"/>
        </w:rPr>
        <w:t>direito livre, bem como nesta etapa dos serviços não haverá laje nem forro não havendo possibilidade de travamentos superiores, sendo, portanto necessária a criação também de travamentos e contraventamentos intermediários e ou superiores.</w:t>
      </w:r>
    </w:p>
    <w:p>
      <w:pPr>
        <w:pStyle w:val="TextosemFormatao"/>
        <w:bidi w:val="0"/>
        <w:spacing w:lineRule="auto" w:line="276" w:before="113" w:after="113"/>
        <w:ind w:left="0" w:right="0" w:firstLine="567"/>
        <w:jc w:val="both"/>
        <w:rPr>
          <w:rFonts w:ascii="Arial" w:hAnsi="Arial"/>
          <w:sz w:val="22"/>
          <w:szCs w:val="22"/>
        </w:rPr>
      </w:pPr>
      <w:r>
        <w:rPr>
          <w:rFonts w:cs="Arial" w:ascii="Arial" w:hAnsi="Arial"/>
          <w:b w:val="false"/>
          <w:sz w:val="22"/>
          <w:szCs w:val="22"/>
        </w:rPr>
        <w:tab/>
        <w:t xml:space="preserve">Deverá ser previamente fornecidos à FISCALIZAÇÃO para aprovação, modelo da divisória com detalhes dos montantes, painéis e rodapés. Tanto o fornecimento como a montagem deverão ser obrigatoriamente assistidos por pessoal técnico do fabricante. </w:t>
      </w:r>
    </w:p>
    <w:p>
      <w:pPr>
        <w:pStyle w:val="TextosemFormatao"/>
        <w:bidi w:val="0"/>
        <w:spacing w:lineRule="auto" w:line="276" w:before="113" w:after="113"/>
        <w:ind w:left="0" w:right="0" w:firstLine="567"/>
        <w:jc w:val="both"/>
        <w:rPr>
          <w:rFonts w:ascii="Arial" w:hAnsi="Arial" w:cs="Arial"/>
          <w:b w:val="false"/>
          <w:b w:val="false"/>
          <w:sz w:val="22"/>
          <w:szCs w:val="22"/>
        </w:rPr>
      </w:pPr>
      <w:r>
        <w:rPr>
          <w:rFonts w:cs="Arial" w:ascii="Arial" w:hAnsi="Arial"/>
          <w:b w:val="false"/>
          <w:sz w:val="22"/>
          <w:szCs w:val="22"/>
        </w:rPr>
        <w:tab/>
        <w:t>Por ocasião da entrega final da obra, serão realizadas vistorias para correção de defeitos e eventuais trocas de peças defeituosas.</w:t>
      </w:r>
    </w:p>
    <w:p>
      <w:pPr>
        <w:pStyle w:val="TextosemFormatao"/>
        <w:bidi w:val="0"/>
        <w:spacing w:lineRule="auto" w:line="276" w:before="113" w:after="113"/>
        <w:ind w:left="0" w:right="0" w:firstLine="567"/>
        <w:jc w:val="both"/>
        <w:rPr>
          <w:rFonts w:ascii="Arial" w:hAnsi="Arial" w:cs="Arial"/>
          <w:b w:val="false"/>
          <w:b w:val="false"/>
          <w:sz w:val="22"/>
          <w:szCs w:val="22"/>
        </w:rPr>
      </w:pPr>
      <w:r>
        <w:rPr>
          <w:rFonts w:cs="Arial" w:ascii="Arial" w:hAnsi="Arial"/>
          <w:b w:val="false"/>
          <w:sz w:val="22"/>
          <w:szCs w:val="22"/>
        </w:rPr>
        <w:tab/>
        <w:t>Nos locais em que as instalações elétricas interferem com as divisórias, deverá haver acompanhamento do pessoal instalador das mesmas.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t>A CONTRATADA, após a execução dos serviços deverá efetuar a limpeza dos locais sujos com a execução dos serviços, bem como os reparos necessários aos danos causados com a execução dos mesmos.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Fonts w:cs="Arial" w:ascii="Arial" w:hAnsi="Arial"/>
          <w:b/>
          <w:i w:val="false"/>
          <w:iCs w:val="false"/>
          <w:spacing w:val="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4</w:t>
      </w:r>
      <w:r>
        <w:rPr>
          <w:rStyle w:val="CharacterStyle2"/>
          <w:rFonts w:cs="Arial" w:ascii="Arial" w:hAnsi="Arial"/>
          <w:b/>
          <w:i w:val="false"/>
          <w:iCs w:val="false"/>
          <w:spacing w:val="2"/>
          <w:sz w:val="22"/>
          <w:szCs w:val="22"/>
        </w:rPr>
        <w:t xml:space="preserve"> REVESTIMENTO</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pPr>
      <w:r>
        <w:rPr>
          <w:rFonts w:cs="Arial" w:ascii="Arial" w:hAnsi="Arial"/>
          <w:sz w:val="22"/>
          <w:szCs w:val="22"/>
        </w:rPr>
        <w:t>Nas ocasiões de temperatura elevada, os revestimentos externos executados na jornada de trabalho deverão ter suas superfícies molhadas ao término desta.</w:t>
      </w:r>
    </w:p>
    <w:p>
      <w:pPr>
        <w:pStyle w:val="Normal"/>
        <w:bidi w:val="0"/>
        <w:spacing w:lineRule="auto" w:line="276" w:before="113" w:after="113"/>
        <w:ind w:left="0" w:right="0" w:firstLine="567"/>
        <w:jc w:val="both"/>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ind w:left="0" w:right="0" w:firstLine="567"/>
        <w:jc w:val="both"/>
        <w:rPr>
          <w:rFonts w:ascii="Arial" w:hAnsi="Arial" w:cs="Arial"/>
          <w:b/>
          <w:b/>
          <w:sz w:val="22"/>
          <w:szCs w:val="22"/>
        </w:rPr>
      </w:pPr>
      <w:r>
        <w:rPr>
          <w:rFonts w:cs="Arial" w:ascii="Arial" w:hAnsi="Arial"/>
          <w:b/>
          <w:sz w:val="22"/>
          <w:szCs w:val="22"/>
        </w:rPr>
      </w:r>
    </w:p>
    <w:p>
      <w:pPr>
        <w:pStyle w:val="Ttulododocumento"/>
        <w:widowControl/>
        <w:numPr>
          <w:ilvl w:val="0"/>
          <w:numId w:val="0"/>
        </w:numPr>
        <w:bidi w:val="0"/>
        <w:spacing w:lineRule="auto" w:line="276" w:before="113" w:after="113"/>
        <w:ind w:left="0" w:right="0" w:firstLine="567"/>
        <w:contextualSpacing/>
        <w:jc w:val="left"/>
        <w:rPr/>
      </w:pPr>
      <w:r>
        <w:rPr>
          <w:rFonts w:cs="Calibri" w:ascii="Arial" w:hAnsi="Arial" w:cstheme="minorHAnsi"/>
          <w:sz w:val="22"/>
          <w:szCs w:val="22"/>
        </w:rPr>
        <w:t>FORRO DE PVC</w:t>
      </w:r>
    </w:p>
    <w:p>
      <w:pPr>
        <w:pStyle w:val="Normal"/>
        <w:bidi w:val="0"/>
        <w:spacing w:lineRule="auto" w:line="276" w:before="113" w:after="113"/>
        <w:ind w:left="0" w:right="0" w:firstLine="567"/>
        <w:jc w:val="both"/>
        <w:rPr/>
      </w:pPr>
      <w:r>
        <w:rPr>
          <w:rFonts w:ascii="Arial" w:hAnsi="Arial"/>
          <w:i w:val="false"/>
          <w:iCs w:val="false"/>
          <w:sz w:val="22"/>
          <w:szCs w:val="22"/>
          <w:lang w:eastAsia="en-US"/>
        </w:rPr>
        <w:t>Material/Especificações</w:t>
      </w:r>
    </w:p>
    <w:p>
      <w:pPr>
        <w:pStyle w:val="ListParagraph"/>
        <w:numPr>
          <w:ilvl w:val="0"/>
          <w:numId w:val="4"/>
        </w:numPr>
        <w:bidi w:val="0"/>
        <w:spacing w:lineRule="auto" w:line="276" w:before="113" w:after="113"/>
        <w:ind w:left="0" w:right="0" w:firstLine="567"/>
        <w:jc w:val="both"/>
        <w:rPr/>
      </w:pPr>
      <w:r>
        <w:rPr>
          <w:rFonts w:ascii="Arial" w:hAnsi="Arial"/>
          <w:sz w:val="22"/>
          <w:szCs w:val="22"/>
        </w:rPr>
        <w:t>forro de pvc branco liso, duplo, 10 x 600 cm;</w:t>
      </w:r>
    </w:p>
    <w:p>
      <w:pPr>
        <w:pStyle w:val="ListParagraph"/>
        <w:numPr>
          <w:ilvl w:val="0"/>
          <w:numId w:val="4"/>
        </w:numPr>
        <w:bidi w:val="0"/>
        <w:spacing w:lineRule="auto" w:line="276" w:before="113" w:after="113"/>
        <w:ind w:left="0" w:right="0" w:firstLine="567"/>
        <w:jc w:val="both"/>
        <w:rPr/>
      </w:pPr>
      <w:r>
        <w:rPr>
          <w:rFonts w:ascii="Arial" w:hAnsi="Arial"/>
          <w:sz w:val="22"/>
          <w:szCs w:val="22"/>
        </w:rPr>
        <w:t>estrutura metálica.</w:t>
      </w:r>
    </w:p>
    <w:p>
      <w:pPr>
        <w:pStyle w:val="Normal"/>
        <w:bidi w:val="0"/>
        <w:spacing w:lineRule="auto" w:line="276" w:before="113" w:after="113"/>
        <w:ind w:left="0" w:right="0" w:firstLine="567"/>
        <w:jc w:val="both"/>
        <w:rPr/>
      </w:pPr>
      <w:r>
        <w:rPr>
          <w:rFonts w:ascii="Arial" w:hAnsi="Arial"/>
          <w:sz w:val="22"/>
          <w:szCs w:val="22"/>
        </w:rPr>
        <w:t xml:space="preserve">O forro de PVC deve ser uniforme, rígido e isento de imperfeições e não deve ficar em contato com fontes de calor superiores a 50°C. </w:t>
      </w:r>
    </w:p>
    <w:p>
      <w:pPr>
        <w:pStyle w:val="Normal"/>
        <w:bidi w:val="0"/>
        <w:spacing w:lineRule="auto" w:line="276" w:before="113" w:after="113"/>
        <w:ind w:left="0" w:right="0" w:firstLine="567"/>
        <w:jc w:val="both"/>
        <w:rPr/>
      </w:pPr>
      <w:r>
        <w:rPr>
          <w:rFonts w:ascii="Arial" w:hAnsi="Arial"/>
          <w:sz w:val="22"/>
          <w:szCs w:val="22"/>
        </w:rPr>
        <w:t>Para tanto as canalizações que porventura passarem sobre as placas do forro e que conduzam fluidos aquecidos, serão adequadamente isoladas com calhas de lã de vidro ou lã de rocha. Deve ser evitado uso de luminárias com lâmpadas incandescentes junto ao forro de PVC.</w:t>
      </w:r>
    </w:p>
    <w:p>
      <w:pPr>
        <w:pStyle w:val="Normal"/>
        <w:bidi w:val="0"/>
        <w:spacing w:lineRule="auto" w:line="276" w:before="113" w:after="113"/>
        <w:ind w:left="0" w:right="0" w:firstLine="567"/>
        <w:jc w:val="both"/>
        <w:rPr/>
      </w:pPr>
      <w:r>
        <w:rPr>
          <w:rFonts w:ascii="Arial" w:hAnsi="Arial"/>
          <w:sz w:val="22"/>
          <w:szCs w:val="22"/>
        </w:rPr>
        <w:t>O armazenamento das placas deve ser feito em local abrigado de poeiras e intempéries e serão empilhadas horizontalmente em pilhas de até 60 (sessenta) placas. Todas as precauções devem ser tomadas para evitar-se que as chapas sejam submetidas a esforços que eventualmente possam ocasionar deformações. Recomendamos o uso de papelão ondulado, lona ou outro material adequado como proteção provisória.</w:t>
      </w:r>
    </w:p>
    <w:p>
      <w:pPr>
        <w:pStyle w:val="Normal"/>
        <w:bidi w:val="0"/>
        <w:spacing w:lineRule="auto" w:line="276" w:before="113" w:after="113"/>
        <w:ind w:left="0" w:right="0" w:firstLine="567"/>
        <w:jc w:val="both"/>
        <w:rPr/>
      </w:pPr>
      <w:r>
        <w:rPr>
          <w:rFonts w:ascii="Arial" w:hAnsi="Arial"/>
          <w:sz w:val="22"/>
          <w:szCs w:val="22"/>
        </w:rPr>
        <w:t xml:space="preserve">As placas serão manuseadas com o máximo de cuidado possível, pois se trata de material de acabamento sensível. As mãos que as manusearão deverão estar sempre </w:t>
      </w:r>
      <w:r>
        <w:rPr>
          <w:rFonts w:ascii="Arial" w:hAnsi="Arial"/>
          <w:b w:val="false"/>
          <w:bCs w:val="false"/>
          <w:i w:val="false"/>
          <w:iCs w:val="false"/>
          <w:sz w:val="22"/>
          <w:szCs w:val="22"/>
        </w:rPr>
        <w:t xml:space="preserve">limpas.  Recomendamos luvas de borracha para evitar que a gordura e o suor das mãos possam impregnar as chapas de forro. </w:t>
      </w:r>
    </w:p>
    <w:p>
      <w:pPr>
        <w:pStyle w:val="Normal"/>
        <w:bidi w:val="0"/>
        <w:spacing w:lineRule="auto" w:line="276" w:before="113" w:after="113"/>
        <w:ind w:left="0" w:right="0" w:firstLine="567"/>
        <w:jc w:val="both"/>
        <w:rPr>
          <w:rFonts w:ascii="Arial" w:hAnsi="Arial" w:cs="Arial"/>
          <w:b/>
          <w:b/>
          <w:i w:val="false"/>
          <w:i w:val="false"/>
          <w:iCs w:val="false"/>
          <w:spacing w:val="2"/>
        </w:rPr>
      </w:pPr>
      <w:r>
        <w:rPr>
          <w:rStyle w:val="CharacterStyle2"/>
          <w:rFonts w:cs="Arial" w:ascii="Arial" w:hAnsi="Arial"/>
          <w:b w:val="false"/>
          <w:bCs w:val="false"/>
          <w:i w:val="false"/>
          <w:iCs w:val="false"/>
          <w:spacing w:val="2"/>
          <w:sz w:val="22"/>
          <w:szCs w:val="22"/>
        </w:rPr>
        <w:t>O comprimento das chapas de forro de PVC será cerca de 5 mm menor do que o vão a ser forrado, em todas as extremidades junto às paredes ou às junções, para permitir a livre dilatação do material.</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5</w:t>
      </w:r>
      <w:r>
        <w:rPr>
          <w:rStyle w:val="CharacterStyle2"/>
          <w:rFonts w:cs="Arial" w:ascii="Arial" w:hAnsi="Arial"/>
          <w:b/>
          <w:i w:val="false"/>
          <w:iCs w:val="false"/>
          <w:spacing w:val="2"/>
        </w:rPr>
        <w:t>. ESQUADRIAS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Fonts w:cs="Arial" w:ascii="Arial" w:hAnsi="Arial"/>
          <w:b/>
          <w:i w:val="false"/>
          <w:iCs w:val="false"/>
          <w:spacing w:val="2"/>
        </w:rPr>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 O material a empregar deverá ser novo, limpo, perfeitamente desempenado e sem nenhum defeito de fabricação.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ESQUADRIAS METÁLICAS</w:t>
      </w:r>
    </w:p>
    <w:p>
      <w:pPr>
        <w:pStyle w:val="Normal"/>
        <w:bidi w:val="0"/>
        <w:spacing w:lineRule="auto" w:line="276" w:before="113" w:after="113"/>
        <w:ind w:left="0" w:right="0"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pPr>
      <w:r>
        <w:rPr>
          <w:rFonts w:cs="Arial" w:ascii="Arial" w:hAnsi="Arial"/>
          <w:sz w:val="22"/>
          <w:szCs w:val="22"/>
        </w:rPr>
        <w:t xml:space="preserve">Caixilhos com tela mosqueteiro em </w:t>
      </w:r>
      <w:r>
        <w:rPr>
          <w:rFonts w:cs="Arial" w:ascii="Arial" w:hAnsi="Arial"/>
          <w:sz w:val="22"/>
          <w:szCs w:val="22"/>
        </w:rPr>
        <w:t>fibra de vidro</w:t>
      </w:r>
      <w:r>
        <w:rPr>
          <w:rFonts w:cs="Arial" w:ascii="Arial" w:hAnsi="Arial"/>
          <w:sz w:val="22"/>
          <w:szCs w:val="22"/>
        </w:rPr>
        <w:t xml:space="preserve"> serão instalados nas janelas da cozinha conforme norma da Vigilância Sanitária.</w:t>
      </w:r>
    </w:p>
    <w:p>
      <w:pPr>
        <w:pStyle w:val="Normal"/>
        <w:bidi w:val="0"/>
        <w:spacing w:lineRule="auto" w:line="276" w:before="113" w:after="113"/>
        <w:ind w:left="0" w:right="0" w:firstLine="567"/>
        <w:jc w:val="both"/>
        <w:rPr/>
      </w:pPr>
      <w:r>
        <w:rPr>
          <w:rFonts w:cs="Arial" w:ascii="Arial" w:hAnsi="Arial"/>
          <w:sz w:val="22"/>
          <w:szCs w:val="22"/>
        </w:rPr>
        <w:t>Serão sumariamente rejeitados as peças metálicas que não atenderem as especificações e detalhes fornecidos ou apresentarem grau de intemperismo inadequado.</w:t>
      </w:r>
    </w:p>
    <w:p>
      <w:pPr>
        <w:pStyle w:val="Style8"/>
        <w:tabs>
          <w:tab w:val="left" w:pos="240" w:leader="none"/>
          <w:tab w:val="left" w:pos="1560" w:leader="none"/>
        </w:tabs>
        <w:bidi w:val="0"/>
        <w:spacing w:lineRule="auto" w:line="276" w:before="113" w:after="113"/>
        <w:ind w:left="0" w:right="0" w:firstLine="567"/>
        <w:jc w:val="left"/>
        <w:rPr>
          <w:rStyle w:val="CharacterStyle2"/>
          <w:rFonts w:ascii="Arial" w:hAnsi="Arial" w:cs="Arial"/>
          <w:b/>
          <w:b/>
          <w:bCs w:val="false"/>
          <w:i w:val="false"/>
          <w:i w:val="false"/>
          <w:iCs w:val="false"/>
          <w:spacing w:val="2"/>
          <w:sz w:val="22"/>
          <w:szCs w:val="22"/>
        </w:rPr>
      </w:pPr>
      <w:r>
        <w:rPr>
          <w:rFonts w:cs="Arial" w:ascii="Arial" w:hAnsi="Arial"/>
          <w:b/>
          <w:bCs w:val="false"/>
          <w:i w:val="false"/>
          <w:iCs w:val="false"/>
          <w:spacing w:val="2"/>
          <w:sz w:val="22"/>
          <w:szCs w:val="22"/>
        </w:rPr>
      </w:r>
    </w:p>
    <w:p>
      <w:pPr>
        <w:pStyle w:val="Normal"/>
        <w:bidi w:val="0"/>
        <w:spacing w:lineRule="auto" w:line="276" w:before="113" w:after="113"/>
        <w:ind w:left="0" w:right="0" w:firstLine="567"/>
        <w:jc w:val="both"/>
        <w:rPr/>
      </w:pPr>
      <w:r>
        <w:rPr>
          <w:rFonts w:cs="Arial" w:ascii="Arial" w:hAnsi="Arial"/>
          <w:b/>
          <w:bCs/>
          <w:i w:val="false"/>
          <w:iCs w:val="false"/>
          <w:sz w:val="22"/>
          <w:szCs w:val="22"/>
        </w:rPr>
        <w:t>6</w:t>
      </w:r>
      <w:r>
        <w:rPr>
          <w:rFonts w:cs="Arial" w:ascii="Arial" w:hAnsi="Arial"/>
          <w:b/>
          <w:bCs/>
          <w:i w:val="false"/>
          <w:iCs w:val="false"/>
          <w:sz w:val="22"/>
          <w:szCs w:val="22"/>
        </w:rPr>
        <w:t xml:space="preserve"> PINTURA</w:t>
      </w:r>
    </w:p>
    <w:p>
      <w:pPr>
        <w:pStyle w:val="Normal"/>
        <w:bidi w:val="0"/>
        <w:spacing w:lineRule="auto" w:line="276" w:before="113" w:after="113"/>
        <w:ind w:left="0" w:right="0" w:firstLine="567"/>
        <w:jc w:val="both"/>
        <w:rPr>
          <w:rFonts w:ascii="Arial" w:hAnsi="Arial" w:cs="Arial"/>
          <w:b/>
          <w:b/>
          <w:bCs/>
          <w:sz w:val="22"/>
          <w:szCs w:val="22"/>
        </w:rPr>
      </w:pPr>
      <w:r>
        <w:rPr>
          <w:rFonts w:cs="Arial" w:ascii="Arial" w:hAnsi="Arial"/>
          <w:b/>
          <w:bCs/>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As paredes internas, externas serão pintadas com tinta acrílica de qualidade, a ser aferida pela fiscalização, em duas demãos. As cores devem ser semelhantes ao já existente.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O estudo bem como a disposição das cores em volumes e estruturas será definido com a fiscalização de obras antes do início dos serviços de pintura.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rFonts w:ascii="Arial" w:hAnsi="Arial"/>
          <w:sz w:val="22"/>
          <w:szCs w:val="22"/>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b/>
          <w:sz w:val="22"/>
          <w:szCs w:val="22"/>
        </w:rPr>
        <w:t>7</w:t>
      </w:r>
      <w:r>
        <w:rPr>
          <w:rFonts w:cs="Arial" w:ascii="Arial" w:hAnsi="Arial"/>
          <w:b/>
          <w:sz w:val="22"/>
          <w:szCs w:val="22"/>
        </w:rPr>
        <w:t xml:space="preserve"> SERVIÇOS COMPLEMENTARES</w:t>
      </w:r>
    </w:p>
    <w:p>
      <w:pPr>
        <w:pStyle w:val="Normal"/>
        <w:widowControl/>
        <w:bidi w:val="0"/>
        <w:spacing w:lineRule="auto" w:line="276"/>
        <w:ind w:left="0" w:right="0" w:firstLine="567"/>
        <w:jc w:val="both"/>
        <w:rPr>
          <w:rFonts w:cs="Arial"/>
        </w:rPr>
      </w:pPr>
      <w:r>
        <w:rPr>
          <w:rFonts w:ascii="Arial" w:hAnsi="Arial"/>
          <w:sz w:val="22"/>
          <w:szCs w:val="22"/>
        </w:rPr>
      </w:r>
    </w:p>
    <w:p>
      <w:pPr>
        <w:pStyle w:val="Normal"/>
        <w:widowControl/>
        <w:bidi w:val="0"/>
        <w:spacing w:lineRule="auto" w:line="276"/>
        <w:ind w:left="0" w:right="0" w:firstLine="567"/>
        <w:jc w:val="both"/>
        <w:rPr>
          <w:rFonts w:ascii="Arial" w:hAnsi="Arial"/>
          <w:sz w:val="22"/>
          <w:szCs w:val="22"/>
        </w:rPr>
      </w:pPr>
      <w:r>
        <w:rPr>
          <w:rFonts w:cs="Arial" w:ascii="Arial" w:hAnsi="Arial"/>
          <w:sz w:val="22"/>
          <w:szCs w:val="22"/>
        </w:rPr>
        <w:t xml:space="preserve">Tela de arame galvanizado, fio 14 BWG e malha quadrada 5x5cm, soldada. </w:t>
      </w:r>
    </w:p>
    <w:p>
      <w:pPr>
        <w:pStyle w:val="Normal"/>
        <w:bidi w:val="0"/>
        <w:spacing w:lineRule="auto" w:line="276"/>
        <w:ind w:left="0" w:right="0" w:firstLine="567"/>
        <w:jc w:val="both"/>
        <w:rPr>
          <w:rFonts w:ascii="Arial" w:hAnsi="Arial"/>
          <w:sz w:val="22"/>
          <w:szCs w:val="22"/>
        </w:rPr>
      </w:pPr>
      <w:r>
        <w:rPr>
          <w:rFonts w:cs="Arial" w:ascii="Arial" w:hAnsi="Arial"/>
          <w:sz w:val="22"/>
          <w:szCs w:val="22"/>
        </w:rPr>
        <w:t>M</w:t>
      </w:r>
      <w:r>
        <w:rPr>
          <w:rFonts w:cs="Arial" w:ascii="Arial" w:hAnsi="Arial"/>
          <w:sz w:val="22"/>
          <w:szCs w:val="22"/>
        </w:rPr>
        <w:t>ourões de concreto armado pré-fabricados curvos:</w:t>
      </w:r>
    </w:p>
    <w:p>
      <w:pPr>
        <w:pStyle w:val="Normal"/>
        <w:bidi w:val="0"/>
        <w:spacing w:lineRule="auto" w:line="276"/>
        <w:ind w:left="0" w:right="0" w:firstLine="567"/>
        <w:jc w:val="both"/>
        <w:rPr>
          <w:rFonts w:ascii="Arial" w:hAnsi="Arial"/>
          <w:sz w:val="22"/>
          <w:szCs w:val="22"/>
        </w:rPr>
      </w:pPr>
      <w:r>
        <w:rPr>
          <w:rFonts w:cs="Arial" w:ascii="Arial" w:hAnsi="Arial"/>
          <w:sz w:val="22"/>
          <w:szCs w:val="22"/>
        </w:rPr>
        <w:t>Os mourões de concreto devem ser fabricados em concreto FCK 21Mpa, aramado em aço CA-60, 4 barras de 4,20mm, estribo cada 20cm, seção trapezoidal, curvo, com furos. Dimensões na base: 110 x 100mm e no topo 80x70mm, altura reta de 2,60m + 0,40m de inclinação com 45°. Com três (3) furos na parte inclinada para passagem de arame farpado e 11 furos espassados a cada 200mm na vertical para passagem do arame liso que fixa a tela.</w:t>
      </w:r>
    </w:p>
    <w:p>
      <w:pPr>
        <w:pStyle w:val="Normal"/>
        <w:bidi w:val="0"/>
        <w:spacing w:lineRule="auto" w:line="276"/>
        <w:ind w:left="0" w:right="0" w:firstLine="567"/>
        <w:jc w:val="both"/>
        <w:rPr>
          <w:rFonts w:ascii="Arial" w:hAnsi="Arial"/>
          <w:sz w:val="22"/>
          <w:szCs w:val="22"/>
        </w:rPr>
      </w:pPr>
      <w:r>
        <w:rPr>
          <w:rFonts w:cs="Arial" w:ascii="Arial" w:hAnsi="Arial"/>
          <w:sz w:val="22"/>
          <w:szCs w:val="22"/>
        </w:rPr>
        <w:t>Devem ser retilíneos e isentos de defeitos, tais como: trincas, arestas esborcinadas, ninhos provenientes de falhas de concretagem e saliências, não sendo permitidas pinturas nem reparos posteriores a sua desmoldagem com a finalidade de ocultar esses defeitos.</w:t>
      </w:r>
    </w:p>
    <w:p>
      <w:pPr>
        <w:pStyle w:val="Normal"/>
        <w:bidi w:val="0"/>
        <w:spacing w:lineRule="auto" w:line="276"/>
        <w:ind w:left="0" w:right="0" w:firstLine="567"/>
        <w:jc w:val="both"/>
        <w:rPr>
          <w:rFonts w:ascii="Arial" w:hAnsi="Arial"/>
          <w:sz w:val="22"/>
          <w:szCs w:val="22"/>
        </w:rPr>
      </w:pPr>
      <w:r>
        <w:rPr>
          <w:rFonts w:cs="Arial" w:ascii="Arial" w:hAnsi="Arial"/>
          <w:sz w:val="22"/>
          <w:szCs w:val="22"/>
        </w:rPr>
        <w:t>Os mourões devem ser fabricados em seção quadrada e retangular, conforme projetos obedecendo à boa técnica do preparo e adensamento do concreto, inclusive a cura adequada, conforme as Normas ABNT ou NBR aplicáveis.</w:t>
      </w:r>
    </w:p>
    <w:p>
      <w:pPr>
        <w:pStyle w:val="Normal"/>
        <w:bidi w:val="0"/>
        <w:spacing w:lineRule="auto" w:line="276"/>
        <w:ind w:left="0" w:right="0" w:firstLine="567"/>
        <w:jc w:val="both"/>
        <w:rPr>
          <w:rFonts w:ascii="Arial" w:hAnsi="Arial"/>
          <w:sz w:val="22"/>
          <w:szCs w:val="22"/>
        </w:rPr>
      </w:pPr>
      <w:r>
        <w:rPr>
          <w:rFonts w:cs="Arial" w:ascii="Arial" w:hAnsi="Arial"/>
          <w:sz w:val="22"/>
          <w:szCs w:val="22"/>
        </w:rPr>
        <w:t>Todos os mourões devem ser examinados visualmente, pela Contratada, antes de seu emprego na obra, devendo aquela rejeitar os que não preencherem as condições estabelecidas pelas Normas da ABNT.</w:t>
      </w:r>
    </w:p>
    <w:p>
      <w:pPr>
        <w:pStyle w:val="Normal"/>
        <w:bidi w:val="0"/>
        <w:spacing w:lineRule="auto" w:line="276"/>
        <w:ind w:left="0" w:right="0" w:firstLine="567"/>
        <w:jc w:val="both"/>
        <w:rPr>
          <w:rFonts w:ascii="Arial" w:hAnsi="Arial"/>
          <w:sz w:val="22"/>
          <w:szCs w:val="22"/>
        </w:rPr>
      </w:pPr>
      <w:r>
        <w:rPr>
          <w:rFonts w:cs="Arial" w:ascii="Arial" w:hAnsi="Arial"/>
          <w:sz w:val="22"/>
          <w:szCs w:val="22"/>
        </w:rPr>
        <w:t>O controle tecnológico dos mourões de concreto deve ser feito de acordo com o que determina as especificações técnicas pertinentes. Quando adquiridos de terceiros, a executante deve exigir os respectivos certificados de qualidade e apresentá-los à fiscalização da PMO sempre que exigida.</w:t>
      </w:r>
    </w:p>
    <w:p>
      <w:pPr>
        <w:pStyle w:val="Normal"/>
        <w:bidi w:val="0"/>
        <w:spacing w:lineRule="auto" w:line="276"/>
        <w:ind w:left="0" w:right="0" w:firstLine="567"/>
        <w:jc w:val="both"/>
        <w:rPr>
          <w:rFonts w:ascii="Arial" w:hAnsi="Arial"/>
          <w:sz w:val="22"/>
          <w:szCs w:val="22"/>
        </w:rPr>
      </w:pPr>
      <w:r>
        <w:rPr>
          <w:rFonts w:cs="Arial" w:ascii="Arial" w:hAnsi="Arial"/>
          <w:sz w:val="22"/>
          <w:szCs w:val="22"/>
        </w:rPr>
        <w:t>Em relação as dimensões, é permitida uma tolerância de ± 2 cm no comprimento e ± 0,5 cm nas dimensões transversais. A espessura do recobrimento do concreto nas armaduras dos mourões, em qualquer posição, deve ser, no mínimo, de 20 mm.</w:t>
      </w:r>
    </w:p>
    <w:p>
      <w:pPr>
        <w:pStyle w:val="Normal"/>
        <w:bidi w:val="0"/>
        <w:spacing w:lineRule="auto" w:line="276" w:before="113" w:after="113"/>
        <w:ind w:left="0" w:right="0" w:firstLine="567"/>
        <w:jc w:val="both"/>
        <w:rPr>
          <w:rFonts w:cs="Arial"/>
          <w:b w:val="false"/>
          <w:b w:val="false"/>
          <w:bCs w:val="false"/>
        </w:rPr>
      </w:pPr>
      <w:r>
        <w:rPr>
          <w:rFonts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8</w:t>
      </w:r>
      <w:r>
        <w:rPr>
          <w:rFonts w:cs="Arial" w:ascii="Arial" w:hAnsi="Arial"/>
          <w:b/>
          <w:sz w:val="22"/>
          <w:szCs w:val="22"/>
        </w:rPr>
        <w:t xml:space="preserve"> SERVIÇOS FINAIS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remoção e o transporte de todo o entulho e detritos provenientes das demolições serão executados pela CONTRA</w:t>
      </w:r>
      <w:r>
        <w:rPr>
          <w:rFonts w:cs="Arial" w:ascii="Arial" w:hAnsi="Arial"/>
          <w:sz w:val="22"/>
          <w:szCs w:val="22"/>
        </w:rPr>
        <w:t>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Será removido todo o entulho do terreno, sendo cuidadosamente limpos e varridos os acessos;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As superfícies de madeira, quando for o caso, serão lustradas, envernizadas ou enceradas em definitivo;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 – </w:t>
      </w:r>
      <w:r>
        <w:rPr>
          <w:rFonts w:cs="Arial" w:ascii="Arial" w:hAnsi="Arial"/>
          <w:sz w:val="22"/>
          <w:szCs w:val="22"/>
        </w:rPr>
        <w:t>As pavimentações, destinadas a polimento e lustração, serão polidas em definitivo e lustradas.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 verificação final, serão obedecidas as seguintes normas da ABNT:</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NB-829/75 – Recebimento de Instalações Prediais de Água Fria (NBR 5651).</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NB-19/83 – Instalações Prediais de Esgotos Sanitários (NBR 8160), Inspeções e Ensaios.</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rFonts w:ascii="Arial" w:hAnsi="Arial"/>
          <w:sz w:val="22"/>
          <w:szCs w:val="22"/>
        </w:rPr>
      </w:pPr>
      <w:r>
        <w:rPr>
          <w:rFonts w:cs="Arial" w:ascii="Arial" w:hAnsi="Arial"/>
          <w:b/>
          <w:sz w:val="22"/>
          <w:szCs w:val="22"/>
        </w:rPr>
        <w:t>Arq. Elmir Bortolanza</w:t>
      </w:r>
    </w:p>
    <w:p>
      <w:pPr>
        <w:pStyle w:val="Normal"/>
        <w:bidi w:val="0"/>
        <w:spacing w:lineRule="auto" w:line="276" w:before="113" w:after="113"/>
        <w:ind w:left="0" w:right="0" w:firstLine="567"/>
        <w:jc w:val="center"/>
        <w:rPr>
          <w:rFonts w:ascii="Arial" w:hAnsi="Arial"/>
          <w:sz w:val="22"/>
          <w:szCs w:val="22"/>
        </w:rPr>
      </w:pPr>
      <w:r>
        <w:rPr>
          <w:rFonts w:cs="Arial" w:ascii="Arial" w:hAnsi="Arial"/>
          <w:sz w:val="22"/>
          <w:szCs w:val="22"/>
        </w:rPr>
        <w:t>Gerente de Projetos Arquitetônicos</w:t>
      </w:r>
    </w:p>
    <w:p>
      <w:pPr>
        <w:pStyle w:val="Normal"/>
        <w:bidi w:val="0"/>
        <w:spacing w:lineRule="auto" w:line="276" w:before="113" w:after="113"/>
        <w:ind w:left="0" w:right="0" w:firstLine="567"/>
        <w:jc w:val="center"/>
        <w:rPr/>
      </w:pPr>
      <w:r>
        <w:rPr/>
      </w:r>
    </w:p>
    <w:sectPr>
      <w:headerReference w:type="default" r:id="rId2"/>
      <w:footerReference w:type="default" r:id="rId3"/>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39">
              <wp:simplePos x="0" y="0"/>
              <wp:positionH relativeFrom="column">
                <wp:posOffset>27305</wp:posOffset>
              </wp:positionH>
              <wp:positionV relativeFrom="margin">
                <wp:posOffset>8340725</wp:posOffset>
              </wp:positionV>
              <wp:extent cx="579755" cy="333375"/>
              <wp:effectExtent l="0" t="0" r="0" b="0"/>
              <wp:wrapNone/>
              <wp:docPr id="2" name="Figura1"/>
              <a:graphic xmlns:a="http://schemas.openxmlformats.org/drawingml/2006/main">
                <a:graphicData uri="http://schemas.microsoft.com/office/word/2010/wordprocessingShape">
                  <wps:wsp>
                    <wps:cNvSpPr/>
                    <wps:spPr>
                      <a:xfrm>
                        <a:off x="0" y="0"/>
                        <a:ext cx="579240" cy="33264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55pt;height:26.1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20">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495" y="0"/>
              <wp:lineTo x="-495" y="20379"/>
              <wp:lineTo x="21600" y="20379"/>
              <wp:lineTo x="21600" y="0"/>
              <wp:lineTo x="-495" y="0"/>
            </wp:wrapPolygon>
          </wp:wrapTight>
          <wp:docPr id="1"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character" w:styleId="ListLabel259">
    <w:name w:val="ListLabel 259"/>
    <w:qFormat/>
    <w:rPr>
      <w:rFonts w:cs="Symbol"/>
      <w:sz w:val="22"/>
    </w:rPr>
  </w:style>
  <w:style w:type="character" w:styleId="ListLabel260">
    <w:name w:val="ListLabel 260"/>
    <w:qFormat/>
    <w:rPr>
      <w:rFonts w:cs="Symbol"/>
      <w:sz w:val="22"/>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cs="Symbol"/>
      <w:sz w:val="22"/>
    </w:rPr>
  </w:style>
  <w:style w:type="character" w:styleId="ListLabel270">
    <w:name w:val="ListLabel 270"/>
    <w:qFormat/>
    <w:rPr>
      <w:rFonts w:cs="Courier New"/>
    </w:rPr>
  </w:style>
  <w:style w:type="character" w:styleId="ListLabel271">
    <w:name w:val="ListLabel 271"/>
    <w:qFormat/>
    <w:rPr>
      <w:rFonts w:cs="Wingdings"/>
    </w:rPr>
  </w:style>
  <w:style w:type="character" w:styleId="ListLabel272">
    <w:name w:val="ListLabel 272"/>
    <w:qFormat/>
    <w:rPr>
      <w:rFonts w:cs="Symbol"/>
    </w:rPr>
  </w:style>
  <w:style w:type="character" w:styleId="ListLabel273">
    <w:name w:val="ListLabel 273"/>
    <w:qFormat/>
    <w:rPr>
      <w:rFonts w:cs="Courier New"/>
    </w:rPr>
  </w:style>
  <w:style w:type="character" w:styleId="ListLabel274">
    <w:name w:val="ListLabel 274"/>
    <w:qFormat/>
    <w:rPr>
      <w:rFonts w:cs="Wingdings"/>
    </w:rPr>
  </w:style>
  <w:style w:type="character" w:styleId="ListLabel275">
    <w:name w:val="ListLabel 275"/>
    <w:qFormat/>
    <w:rPr>
      <w:rFonts w:cs="Symbol"/>
    </w:rPr>
  </w:style>
  <w:style w:type="character" w:styleId="ListLabel276">
    <w:name w:val="ListLabel 276"/>
    <w:qFormat/>
    <w:rPr>
      <w:rFonts w:cs="Courier New"/>
    </w:rPr>
  </w:style>
  <w:style w:type="character" w:styleId="ListLabel277">
    <w:name w:val="ListLabel 277"/>
    <w:qFormat/>
    <w:rPr>
      <w:rFonts w:cs="Wingdings"/>
    </w:rPr>
  </w:style>
  <w:style w:type="character" w:styleId="ListLabel278">
    <w:name w:val="ListLabel 278"/>
    <w:qFormat/>
    <w:rPr>
      <w:rFonts w:cs="OpenSymbol"/>
    </w:rPr>
  </w:style>
  <w:style w:type="character" w:styleId="ListLabel279">
    <w:name w:val="ListLabel 279"/>
    <w:qFormat/>
    <w:rPr>
      <w:rFonts w:cs="OpenSymbol"/>
    </w:rPr>
  </w:style>
  <w:style w:type="character" w:styleId="ListLabel280">
    <w:name w:val="ListLabel 280"/>
    <w:qFormat/>
    <w:rPr>
      <w:rFonts w:cs="OpenSymbol"/>
    </w:rPr>
  </w:style>
  <w:style w:type="character" w:styleId="ListLabel281">
    <w:name w:val="ListLabel 281"/>
    <w:qFormat/>
    <w:rPr>
      <w:rFonts w:cs="OpenSymbol"/>
    </w:rPr>
  </w:style>
  <w:style w:type="character" w:styleId="ListLabel282">
    <w:name w:val="ListLabel 282"/>
    <w:qFormat/>
    <w:rPr>
      <w:rFonts w:cs="OpenSymbol"/>
    </w:rPr>
  </w:style>
  <w:style w:type="character" w:styleId="ListLabel283">
    <w:name w:val="ListLabel 283"/>
    <w:qFormat/>
    <w:rPr>
      <w:rFonts w:cs="OpenSymbol"/>
    </w:rPr>
  </w:style>
  <w:style w:type="character" w:styleId="ListLabel284">
    <w:name w:val="ListLabel 284"/>
    <w:qFormat/>
    <w:rPr>
      <w:rFonts w:cs="OpenSymbol"/>
    </w:rPr>
  </w:style>
  <w:style w:type="character" w:styleId="ListLabel285">
    <w:name w:val="ListLabel 285"/>
    <w:qFormat/>
    <w:rPr>
      <w:rFonts w:cs="OpenSymbol"/>
    </w:rPr>
  </w:style>
  <w:style w:type="character" w:styleId="ListLabel286">
    <w:name w:val="ListLabel 286"/>
    <w:qFormat/>
    <w:rPr>
      <w:rFonts w:cs="OpenSymbol"/>
    </w:rPr>
  </w:style>
  <w:style w:type="character" w:styleId="ListLabel82">
    <w:name w:val="ListLabel 82"/>
    <w:qFormat/>
    <w:rPr>
      <w:rFonts w:cs="Courier New"/>
      <w:sz w:val="24"/>
    </w:rPr>
  </w:style>
  <w:style w:type="character" w:styleId="ListLabel83">
    <w:name w:val="ListLabel 83"/>
    <w:qFormat/>
    <w:rPr>
      <w:rFonts w:cs="Courier New"/>
    </w:rPr>
  </w:style>
  <w:style w:type="character" w:styleId="ListLabel84">
    <w:name w:val="ListLabel 84"/>
    <w:qFormat/>
    <w:rPr>
      <w:rFonts w:cs="Courier New"/>
    </w:rPr>
  </w:style>
  <w:style w:type="character" w:styleId="ListLabel85">
    <w:name w:val="ListLabel 85"/>
    <w:qFormat/>
    <w:rPr>
      <w:rFonts w:cs="Courier New"/>
    </w:rPr>
  </w:style>
  <w:style w:type="character" w:styleId="ListLabel287">
    <w:name w:val="ListLabel 287"/>
    <w:qFormat/>
    <w:rPr>
      <w:rFonts w:ascii="Arial" w:hAnsi="Arial" w:cs="Symbol"/>
      <w:sz w:val="22"/>
    </w:rPr>
  </w:style>
  <w:style w:type="character" w:styleId="ListLabel288">
    <w:name w:val="ListLabel 288"/>
    <w:qFormat/>
    <w:rPr>
      <w:rFonts w:ascii="Arial" w:hAnsi="Arial" w:cs="Symbol"/>
      <w:sz w:val="22"/>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cs="Symbol"/>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ascii="Arial" w:hAnsi="Arial" w:cs="OpenSymbol"/>
      <w:sz w:val="22"/>
    </w:rPr>
  </w:style>
  <w:style w:type="character" w:styleId="ListLabel298">
    <w:name w:val="ListLabel 298"/>
    <w:qFormat/>
    <w:rPr>
      <w:rFonts w:cs="OpenSymbol"/>
    </w:rPr>
  </w:style>
  <w:style w:type="character" w:styleId="ListLabel299">
    <w:name w:val="ListLabel 299"/>
    <w:qFormat/>
    <w:rPr>
      <w:rFonts w:cs="OpenSymbol"/>
    </w:rPr>
  </w:style>
  <w:style w:type="character" w:styleId="ListLabel300">
    <w:name w:val="ListLabel 300"/>
    <w:qFormat/>
    <w:rPr>
      <w:rFonts w:cs="OpenSymbol"/>
    </w:rPr>
  </w:style>
  <w:style w:type="character" w:styleId="ListLabel301">
    <w:name w:val="ListLabel 301"/>
    <w:qFormat/>
    <w:rPr>
      <w:rFonts w:cs="OpenSymbol"/>
    </w:rPr>
  </w:style>
  <w:style w:type="character" w:styleId="ListLabel302">
    <w:name w:val="ListLabel 302"/>
    <w:qFormat/>
    <w:rPr>
      <w:rFonts w:cs="OpenSymbol"/>
    </w:rPr>
  </w:style>
  <w:style w:type="character" w:styleId="ListLabel303">
    <w:name w:val="ListLabel 303"/>
    <w:qFormat/>
    <w:rPr>
      <w:rFonts w:cs="OpenSymbol"/>
    </w:rPr>
  </w:style>
  <w:style w:type="character" w:styleId="ListLabel304">
    <w:name w:val="ListLabel 304"/>
    <w:qFormat/>
    <w:rPr>
      <w:rFonts w:cs="OpenSymbol"/>
    </w:rPr>
  </w:style>
  <w:style w:type="character" w:styleId="ListLabel305">
    <w:name w:val="ListLabel 305"/>
    <w:qFormat/>
    <w:rPr>
      <w:rFonts w:cs="OpenSymbol"/>
    </w:rPr>
  </w:style>
  <w:style w:type="character" w:styleId="ListLabel306">
    <w:name w:val="ListLabel 306"/>
    <w:qFormat/>
    <w:rPr>
      <w:rFonts w:cs="Wingdings"/>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cs="Symbol"/>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rFonts w:cs="Symbol"/>
    </w:rPr>
  </w:style>
  <w:style w:type="character" w:styleId="ListLabel313">
    <w:name w:val="ListLabel 313"/>
    <w:qFormat/>
    <w:rPr>
      <w:rFonts w:cs="Courier New"/>
    </w:rPr>
  </w:style>
  <w:style w:type="character" w:styleId="ListLabel314">
    <w:name w:val="ListLabel 314"/>
    <w:qFormat/>
    <w:rPr>
      <w:rFonts w:cs="Wingdings"/>
    </w:rPr>
  </w:style>
  <w:style w:type="character" w:styleId="ListLabel315">
    <w:name w:val="ListLabel 315"/>
    <w:qFormat/>
    <w:rPr>
      <w:rFonts w:ascii="Arial" w:hAnsi="Arial" w:cs="Symbol"/>
      <w:sz w:val="22"/>
    </w:rPr>
  </w:style>
  <w:style w:type="character" w:styleId="ListLabel316">
    <w:name w:val="ListLabel 316"/>
    <w:qFormat/>
    <w:rPr>
      <w:rFonts w:cs="Courier New"/>
    </w:rPr>
  </w:style>
  <w:style w:type="character" w:styleId="ListLabel317">
    <w:name w:val="ListLabel 317"/>
    <w:qFormat/>
    <w:rPr>
      <w:rFonts w:cs="Wingdings"/>
    </w:rPr>
  </w:style>
  <w:style w:type="character" w:styleId="ListLabel318">
    <w:name w:val="ListLabel 318"/>
    <w:qFormat/>
    <w:rPr>
      <w:rFonts w:cs="Symbol"/>
    </w:rPr>
  </w:style>
  <w:style w:type="character" w:styleId="ListLabel319">
    <w:name w:val="ListLabel 319"/>
    <w:qFormat/>
    <w:rPr>
      <w:rFonts w:cs="Courier New"/>
    </w:rPr>
  </w:style>
  <w:style w:type="character" w:styleId="ListLabel320">
    <w:name w:val="ListLabel 320"/>
    <w:qFormat/>
    <w:rPr>
      <w:rFonts w:cs="Wingdings"/>
    </w:rPr>
  </w:style>
  <w:style w:type="character" w:styleId="ListLabel321">
    <w:name w:val="ListLabel 321"/>
    <w:qFormat/>
    <w:rPr>
      <w:rFonts w:cs="Symbol"/>
    </w:rPr>
  </w:style>
  <w:style w:type="character" w:styleId="ListLabel322">
    <w:name w:val="ListLabel 322"/>
    <w:qFormat/>
    <w:rPr>
      <w:rFonts w:cs="Courier New"/>
    </w:rPr>
  </w:style>
  <w:style w:type="character" w:styleId="ListLabel323">
    <w:name w:val="ListLabel 323"/>
    <w:qFormat/>
    <w:rPr>
      <w:rFonts w:cs="Wingdings"/>
    </w:rPr>
  </w:style>
  <w:style w:type="character" w:styleId="ListLabel324">
    <w:name w:val="ListLabel 324"/>
    <w:qFormat/>
    <w:rPr>
      <w:rFonts w:cs="Symbol"/>
      <w:sz w:val="22"/>
    </w:rPr>
  </w:style>
  <w:style w:type="character" w:styleId="ListLabel325">
    <w:name w:val="ListLabel 325"/>
    <w:qFormat/>
    <w:rPr>
      <w:rFonts w:cs="Wingdings"/>
    </w:rPr>
  </w:style>
  <w:style w:type="character" w:styleId="ListLabel326">
    <w:name w:val="ListLabel 326"/>
    <w:qFormat/>
    <w:rPr>
      <w:rFonts w:cs="Wingdings"/>
    </w:rPr>
  </w:style>
  <w:style w:type="character" w:styleId="ListLabel327">
    <w:name w:val="ListLabel 327"/>
    <w:qFormat/>
    <w:rPr>
      <w:rFonts w:cs="Wingdings"/>
    </w:rPr>
  </w:style>
  <w:style w:type="character" w:styleId="ListLabel328">
    <w:name w:val="ListLabel 328"/>
    <w:qFormat/>
    <w:rPr>
      <w:rFonts w:cs="Wingdings"/>
    </w:rPr>
  </w:style>
  <w:style w:type="character" w:styleId="ListLabel329">
    <w:name w:val="ListLabel 329"/>
    <w:qFormat/>
    <w:rPr>
      <w:rFonts w:cs="Wingdings"/>
    </w:rPr>
  </w:style>
  <w:style w:type="character" w:styleId="ListLabel330">
    <w:name w:val="ListLabel 330"/>
    <w:qFormat/>
    <w:rPr>
      <w:rFonts w:cs="Wingdings"/>
    </w:rPr>
  </w:style>
  <w:style w:type="character" w:styleId="ListLabel331">
    <w:name w:val="ListLabel 331"/>
    <w:qFormat/>
    <w:rPr>
      <w:rFonts w:cs="Wingdings"/>
    </w:rPr>
  </w:style>
  <w:style w:type="character" w:styleId="ListLabel332">
    <w:name w:val="ListLabel 332"/>
    <w:qFormat/>
    <w:rPr>
      <w:rFonts w:cs="Wingdings"/>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paragraph" w:styleId="TextosemFormatao">
    <w:name w:val="Texto sem Formatação"/>
    <w:basedOn w:val="Normal"/>
    <w:qFormat/>
    <w:pPr/>
    <w:rPr>
      <w:rFonts w:ascii="Courier New" w:hAnsi="Courier New" w:cs="Courier New"/>
      <w:b/>
      <w:sz w:val="20"/>
      <w:szCs w:val="20"/>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1350</TotalTime>
  <Application>LibreOffice/5.2.4.2$Windows_x86 LibreOffice_project/3d5603e1122f0f102b62521720ab13a38a4e0eb0</Application>
  <Pages>19</Pages>
  <Words>7092</Words>
  <Characters>40426</Characters>
  <CharactersWithSpaces>47361</CharactersWithSpaces>
  <Paragraphs>255</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2018-02-16T14:46:13Z</cp:lastPrinted>
  <dcterms:modified xsi:type="dcterms:W3CDTF">2018-02-16T14:58:11Z</dcterms:modified>
  <cp:revision>15</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